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пластинчатого теплообменника</w:t>
        <w:br w:type="textWrapping"/>
        <w:t xml:space="preserve">для пищевых технологий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Данные для расчета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Тип теплообменника (нужное отметить):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_______ паяный   _____ разборный  ____ сварной ___ другой _____________________</w:t>
      </w:r>
    </w:p>
    <w:tbl>
      <w:tblPr>
        <w:tblStyle w:val="Table2"/>
        <w:tblW w:w="9935.0" w:type="dxa"/>
        <w:jc w:val="left"/>
        <w:tblInd w:w="-12.00000000000001" w:type="dxa"/>
        <w:tblLayout w:type="fixed"/>
        <w:tblLook w:val="0000"/>
      </w:tblPr>
      <w:tblGrid>
        <w:gridCol w:w="1320"/>
        <w:gridCol w:w="1525"/>
        <w:gridCol w:w="277"/>
        <w:gridCol w:w="2419"/>
        <w:gridCol w:w="4394"/>
        <w:tblGridChange w:id="0">
          <w:tblGrid>
            <w:gridCol w:w="1320"/>
            <w:gridCol w:w="1525"/>
            <w:gridCol w:w="277"/>
            <w:gridCol w:w="2419"/>
            <w:gridCol w:w="4394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Назначение (нужное отметить):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Технологический процесс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" w:right="0" w:firstLine="14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Подробнее: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Другое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Подробнее: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1"/>
        <w:gridCol w:w="2835"/>
        <w:gridCol w:w="1984"/>
        <w:gridCol w:w="1985"/>
        <w:tblGridChange w:id="0">
          <w:tblGrid>
            <w:gridCol w:w="3441"/>
            <w:gridCol w:w="2835"/>
            <w:gridCol w:w="1984"/>
            <w:gridCol w:w="1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Греющая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Вид теплоносителя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(наименование, ГОСТ, ТУ)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входе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выходе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Максим. расчетная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расчетное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Тепловая производительность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Tmin =  ____ 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Теплофизические свойства, необходимые для расчета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(для воды и пара не указывать)</w:t>
      </w: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2"/>
        <w:gridCol w:w="1757"/>
        <w:gridCol w:w="1749"/>
        <w:gridCol w:w="1567"/>
        <w:gridCol w:w="1550"/>
        <w:gridCol w:w="1559"/>
        <w:tblGridChange w:id="0">
          <w:tblGrid>
            <w:gridCol w:w="2132"/>
            <w:gridCol w:w="1757"/>
            <w:gridCol w:w="1749"/>
            <w:gridCol w:w="1567"/>
            <w:gridCol w:w="1550"/>
            <w:gridCol w:w="155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Наименование параметров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Единицы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Греющая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выхода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выхода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Уд. 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Твердые включения: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Размер, мм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Концентрация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0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57.0" w:type="dxa"/>
      <w:jc w:val="left"/>
      <w:tblLayout w:type="fixed"/>
      <w:tblLook w:val="0000"/>
    </w:tblPr>
    <w:tblGrid>
      <w:gridCol w:w="4840"/>
      <w:gridCol w:w="5417"/>
      <w:tblGridChange w:id="0">
        <w:tblGrid>
          <w:gridCol w:w="4840"/>
          <w:gridCol w:w="541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GEA Mashimpeks</w:t>
          </w:r>
        </w:p>
      </w:tc>
    </w:tr>
  </w:tbl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A2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A3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/G2U/DN4ohVBPNJC9f3/6xtjg==">CgMxLjAaHwoBMBIaChgIB0IUCgtBcmlhbCBCbGFjaxIFQXJpYWw4AHIhMUtibWtqUkdoMTZhRml0QzVKT2R0UENrYlRDbjQ4QTZL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2015-12-16T12:25:00Z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