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подбора пластинчатого теплообменника</w:t>
        <w:br w:type="textWrapping"/>
        <w:t xml:space="preserve">для систем холодоснабжения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108.0" w:type="dxa"/>
        <w:tblLayout w:type="fixed"/>
        <w:tblLook w:val="0000"/>
      </w:tblPr>
      <w:tblGrid>
        <w:gridCol w:w="1124"/>
        <w:gridCol w:w="3520"/>
        <w:gridCol w:w="2209"/>
        <w:gridCol w:w="3332"/>
        <w:tblGridChange w:id="0">
          <w:tblGrid>
            <w:gridCol w:w="1124"/>
            <w:gridCol w:w="3520"/>
            <w:gridCol w:w="2209"/>
            <w:gridCol w:w="333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Фирма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Данные для расчета КАСКАДА (испаритель-конденсатор)</w:t>
      </w: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Layout w:type="fixed"/>
        <w:tblLook w:val="0000"/>
      </w:tblPr>
      <w:tblGrid>
        <w:gridCol w:w="2127"/>
        <w:gridCol w:w="4110"/>
        <w:gridCol w:w="2268"/>
        <w:gridCol w:w="1560"/>
        <w:tblGridChange w:id="0">
          <w:tblGrid>
            <w:gridCol w:w="2127"/>
            <w:gridCol w:w="4110"/>
            <w:gridCol w:w="2268"/>
            <w:gridCol w:w="1560"/>
          </w:tblGrid>
        </w:tblGridChange>
      </w:tblGrid>
      <w:tr>
        <w:trPr>
          <w:cantSplit w:val="1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ИСПАРИТЕЛЬ (верхняя ступень)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Схема испарения: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Затопленный – термосифон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</wp:posOffset>
                  </wp:positionV>
                  <wp:extent cx="142875" cy="17145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Затопленный – принудительный поток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142875" cy="171450"/>
                  <wp:effectExtent b="0" l="0" r="0" t="0"/>
                  <wp:wrapNone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71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Испарение с отводом сухого пара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47625</wp:posOffset>
                  </wp:positionV>
                  <wp:extent cx="142875" cy="161925"/>
                  <wp:effectExtent b="0" l="0" r="0" t="0"/>
                  <wp:wrapNone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МОЩНОСТЬ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кВт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Хладагент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кипения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конденсации (в холодильном  цикле)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Перегрев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 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Массовый 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кг/час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кПа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КОНДЕНСАТОР (нижняя ступень)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Хладагент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входа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конденсации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выхода (переохлаждение)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Массовый расход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кг/час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напора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кПа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Примечание: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Рабочая температура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Макс. Рабочее давление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Присоединения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Материал пластин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окружающего воздуха (в случае установки на открытом воздухе или неотапливаемом помещении)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°C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4.999999999998" w:type="dxa"/>
        <w:jc w:val="left"/>
        <w:tblLayout w:type="fixed"/>
        <w:tblLook w:val="0000"/>
      </w:tblPr>
      <w:tblGrid>
        <w:gridCol w:w="3544"/>
        <w:gridCol w:w="2977"/>
        <w:gridCol w:w="3544"/>
        <w:tblGridChange w:id="0">
          <w:tblGrid>
            <w:gridCol w:w="3544"/>
            <w:gridCol w:w="2977"/>
            <w:gridCol w:w="3544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284" w:top="1276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7.0" w:type="dxa"/>
      <w:jc w:val="left"/>
      <w:tblLayout w:type="fixed"/>
      <w:tblLook w:val="0000"/>
    </w:tblPr>
    <w:tblGrid>
      <w:gridCol w:w="4840"/>
      <w:gridCol w:w="5417"/>
      <w:tblGridChange w:id="0">
        <w:tblGrid>
          <w:gridCol w:w="4840"/>
          <w:gridCol w:w="541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GEA Mashimpeks</w:t>
          </w:r>
        </w:p>
      </w:tc>
    </w:tr>
  </w:tbl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ind w:right="190"/>
      <w:jc w:val="right"/>
      <w:rPr>
        <w:rFonts w:ascii="Arial" w:cs="Arial" w:eastAsia="Arial" w:hAnsi="Arial"/>
        <w:sz w:val="21"/>
        <w:szCs w:val="21"/>
      </w:rPr>
    </w:pPr>
    <w:r w:rsidDel="00000000" w:rsidR="00000000" w:rsidRPr="00000000">
      <w:rPr>
        <w:rFonts w:ascii="Arial" w:cs="Arial" w:eastAsia="Arial" w:hAnsi="Arial"/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1"/>
      <w:ind w:right="19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8E">
    <w:pPr>
      <w:keepNext w:val="1"/>
      <w:ind w:right="190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8F">
    <w:pPr>
      <w:keepNext w:val="1"/>
      <w:ind w:right="190"/>
      <w:jc w:val="right"/>
      <w:rPr>
        <w:rFonts w:ascii="Arial" w:cs="Arial" w:eastAsia="Arial" w:hAnsi="Arial"/>
        <w:b w:val="1"/>
        <w:sz w:val="21"/>
        <w:szCs w:val="21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1"/>
        <w:szCs w:val="2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900430</wp:posOffset>
          </wp:positionH>
          <wp:positionV relativeFrom="page">
            <wp:posOffset>234950</wp:posOffset>
          </wp:positionV>
          <wp:extent cx="2104708" cy="150896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3Ec9R5vbDcFZsiYt5SLmVmuCJg==">CgMxLjAaHwoBMBIaChgIB0IUCgtBcmlhbCBCbGFjaxIFQXJpYWw4AHIhMXpHeDZBcXdVMVA1aWhfaHpmNnBXa1g4cWJBbTV5STR4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2017-07-07T11:30:00Z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